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5" w:rsidRPr="007151B4" w:rsidRDefault="00926525" w:rsidP="0092652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8"/>
        <w:gridCol w:w="557"/>
        <w:gridCol w:w="3033"/>
        <w:gridCol w:w="158"/>
        <w:gridCol w:w="3682"/>
      </w:tblGrid>
      <w:tr w:rsidR="00926525" w:rsidRPr="007151B4" w:rsidTr="001C1BF1">
        <w:trPr>
          <w:cantSplit/>
          <w:trHeight w:val="311"/>
        </w:trPr>
        <w:tc>
          <w:tcPr>
            <w:tcW w:w="14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Denominazione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1B4">
              <w:rPr>
                <w:rFonts w:ascii="Times New Roman" w:hAnsi="Times New Roman"/>
                <w:sz w:val="20"/>
                <w:szCs w:val="20"/>
              </w:rPr>
              <w:t>dell’</w:t>
            </w:r>
            <w:proofErr w:type="spellStart"/>
            <w:r w:rsidRPr="007151B4">
              <w:rPr>
                <w:rFonts w:ascii="Times New Roman" w:hAnsi="Times New Roman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35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1C1BF1">
        <w:trPr>
          <w:cantSplit/>
          <w:trHeight w:val="496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Eventuale compito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1B4">
              <w:rPr>
                <w:rFonts w:ascii="Times New Roman" w:hAnsi="Times New Roman"/>
                <w:sz w:val="20"/>
                <w:szCs w:val="20"/>
              </w:rPr>
              <w:t>prodotto</w:t>
            </w:r>
          </w:p>
        </w:tc>
        <w:tc>
          <w:tcPr>
            <w:tcW w:w="35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pStyle w:val="Corpodeltesto"/>
              <w:ind w:firstLine="0"/>
              <w:rPr>
                <w:szCs w:val="20"/>
              </w:rPr>
            </w:pPr>
          </w:p>
        </w:tc>
      </w:tr>
      <w:tr w:rsidR="00926525" w:rsidRPr="007151B4" w:rsidTr="001C1BF1">
        <w:trPr>
          <w:cantSplit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pStyle w:val="Corpodeltesto"/>
              <w:ind w:firstLine="0"/>
              <w:rPr>
                <w:szCs w:val="20"/>
              </w:rPr>
            </w:pPr>
            <w:r w:rsidRPr="007151B4">
              <w:rPr>
                <w:szCs w:val="20"/>
              </w:rPr>
              <w:t>COMPETENZE</w:t>
            </w:r>
          </w:p>
        </w:tc>
      </w:tr>
      <w:tr w:rsidR="00926525" w:rsidRPr="007151B4" w:rsidTr="001C1BF1">
        <w:trPr>
          <w:cantSplit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Assi culturali di riferimento</w:t>
            </w:r>
          </w:p>
        </w:tc>
        <w:tc>
          <w:tcPr>
            <w:tcW w:w="1632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6525" w:rsidRPr="007151B4" w:rsidRDefault="00926525" w:rsidP="0092652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Asse dei linguaggi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Asse matematico</w:t>
            </w:r>
          </w:p>
        </w:tc>
        <w:tc>
          <w:tcPr>
            <w:tcW w:w="1883" w:type="pct"/>
            <w:tcBorders>
              <w:left w:val="nil"/>
              <w:right w:val="single" w:sz="4" w:space="0" w:color="auto"/>
            </w:tcBorders>
          </w:tcPr>
          <w:p w:rsidR="00926525" w:rsidRPr="007151B4" w:rsidRDefault="00926525" w:rsidP="0092652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Asse scientifico-tecnologico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 storico-</w:t>
            </w:r>
            <w:r w:rsidRPr="007151B4">
              <w:rPr>
                <w:rFonts w:ascii="Times New Roman" w:hAnsi="Times New Roman"/>
                <w:sz w:val="20"/>
                <w:szCs w:val="20"/>
              </w:rPr>
              <w:t>sociale</w:t>
            </w:r>
          </w:p>
        </w:tc>
      </w:tr>
      <w:tr w:rsidR="00926525" w:rsidRPr="007151B4" w:rsidTr="001C1BF1">
        <w:trPr>
          <w:cantSplit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Competenze chiave di cittadinanza</w:t>
            </w:r>
          </w:p>
        </w:tc>
        <w:tc>
          <w:tcPr>
            <w:tcW w:w="1632" w:type="pct"/>
            <w:gridSpan w:val="2"/>
            <w:tcBorders>
              <w:left w:val="single" w:sz="4" w:space="0" w:color="auto"/>
              <w:right w:val="nil"/>
            </w:tcBorders>
          </w:tcPr>
          <w:p w:rsidR="00926525" w:rsidRPr="007151B4" w:rsidRDefault="00926525" w:rsidP="0092652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Imparare ad imparare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Progettare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Comunicare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Collaborare e partecipare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Agire in modo autonomo e responsabile</w:t>
            </w:r>
          </w:p>
        </w:tc>
        <w:tc>
          <w:tcPr>
            <w:tcW w:w="1883" w:type="pct"/>
            <w:tcBorders>
              <w:left w:val="nil"/>
              <w:right w:val="single" w:sz="4" w:space="0" w:color="auto"/>
            </w:tcBorders>
          </w:tcPr>
          <w:p w:rsidR="00926525" w:rsidRPr="007151B4" w:rsidRDefault="00926525" w:rsidP="0092652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Risolvere problemi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Individuare collegamenti e relazioni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Acquisire ed interpretare l’informazione</w:t>
            </w:r>
          </w:p>
        </w:tc>
      </w:tr>
      <w:tr w:rsidR="00926525" w:rsidRPr="007151B4" w:rsidTr="001C1BF1">
        <w:trPr>
          <w:cantSplit/>
        </w:trPr>
        <w:tc>
          <w:tcPr>
            <w:tcW w:w="311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 xml:space="preserve">OBIETTIVI SPECIFICI </w:t>
            </w:r>
            <w:proofErr w:type="spellStart"/>
            <w:r w:rsidRPr="007151B4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7151B4">
              <w:rPr>
                <w:rFonts w:ascii="Times New Roman" w:hAnsi="Times New Roman"/>
                <w:sz w:val="20"/>
                <w:szCs w:val="20"/>
              </w:rPr>
              <w:t xml:space="preserve"> APPRENDIMENTO</w:t>
            </w:r>
          </w:p>
        </w:tc>
        <w:tc>
          <w:tcPr>
            <w:tcW w:w="18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COMPETENZE SPECIFICHE</w:t>
            </w:r>
          </w:p>
        </w:tc>
      </w:tr>
      <w:tr w:rsidR="00926525" w:rsidRPr="007151B4" w:rsidTr="001C1BF1">
        <w:trPr>
          <w:cantSplit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 xml:space="preserve">Conoscenze </w:t>
            </w:r>
          </w:p>
        </w:tc>
        <w:tc>
          <w:tcPr>
            <w:tcW w:w="16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270EF8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Abilità</w:t>
            </w:r>
          </w:p>
        </w:tc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1C1BF1">
        <w:trPr>
          <w:cantSplit/>
          <w:trHeight w:val="284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1C1BF1">
        <w:trPr>
          <w:cantSplit/>
          <w:trHeight w:val="284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1C1BF1">
        <w:trPr>
          <w:cantSplit/>
          <w:trHeight w:val="284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1C1BF1">
        <w:trPr>
          <w:cantSplit/>
          <w:trHeight w:val="284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1C1BF1">
        <w:trPr>
          <w:cantSplit/>
          <w:trHeight w:val="284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1C1BF1">
        <w:trPr>
          <w:cantSplit/>
          <w:trHeight w:val="284"/>
        </w:trPr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1C1BF1">
        <w:trPr>
          <w:cantSplit/>
        </w:trPr>
        <w:tc>
          <w:tcPr>
            <w:tcW w:w="311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* obiettivi minimi</w:t>
            </w:r>
          </w:p>
        </w:tc>
        <w:tc>
          <w:tcPr>
            <w:tcW w:w="188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814918">
        <w:trPr>
          <w:cantSplit/>
          <w:trHeight w:val="567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51B4">
              <w:rPr>
                <w:rFonts w:ascii="Times New Roman" w:hAnsi="Times New Roman"/>
                <w:b/>
                <w:i/>
                <w:sz w:val="20"/>
                <w:szCs w:val="20"/>
              </w:rPr>
              <w:t>Prerequisiti</w:t>
            </w:r>
          </w:p>
        </w:tc>
        <w:tc>
          <w:tcPr>
            <w:tcW w:w="38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814918">
        <w:trPr>
          <w:cantSplit/>
          <w:trHeight w:val="567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51B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Tempi </w:t>
            </w:r>
          </w:p>
        </w:tc>
        <w:tc>
          <w:tcPr>
            <w:tcW w:w="38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814918">
        <w:trPr>
          <w:cantSplit/>
          <w:trHeight w:val="567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51B4">
              <w:rPr>
                <w:rFonts w:ascii="Times New Roman" w:hAnsi="Times New Roman"/>
                <w:b/>
                <w:i/>
                <w:sz w:val="20"/>
                <w:szCs w:val="20"/>
              </w:rPr>
              <w:t>Esperienze attivate</w:t>
            </w:r>
          </w:p>
        </w:tc>
        <w:tc>
          <w:tcPr>
            <w:tcW w:w="38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525" w:rsidRPr="007151B4" w:rsidTr="00814918">
        <w:trPr>
          <w:cantSplit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51B4">
              <w:rPr>
                <w:rFonts w:ascii="Times New Roman" w:hAnsi="Times New Roman"/>
                <w:b/>
                <w:i/>
                <w:sz w:val="20"/>
                <w:szCs w:val="20"/>
              </w:rPr>
              <w:t>Strumenti metodologici</w:t>
            </w:r>
          </w:p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Lezione frontale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Lezione frontale integrata dalla lettura di testi/fonti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Lezione partecipata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analisi e interpretazione dei testi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Brainstorming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Tutoring</w:t>
            </w:r>
          </w:p>
        </w:tc>
        <w:tc>
          <w:tcPr>
            <w:tcW w:w="1965" w:type="pct"/>
            <w:gridSpan w:val="2"/>
            <w:tcBorders>
              <w:left w:val="nil"/>
              <w:right w:val="single" w:sz="4" w:space="0" w:color="auto"/>
            </w:tcBorders>
          </w:tcPr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Autocorrezione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Lavoro di coppia e/o gruppo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Attività in laboratorio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Lavoro di ricerca individuale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 xml:space="preserve">Didattica multimediale 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Interventi esperti esterni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 xml:space="preserve">Altro </w:t>
            </w:r>
            <w:r w:rsidRPr="007151B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26525" w:rsidRPr="007151B4" w:rsidTr="00814918">
        <w:trPr>
          <w:cantSplit/>
          <w:trHeight w:val="1681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51B4">
              <w:rPr>
                <w:rFonts w:ascii="Times New Roman" w:hAnsi="Times New Roman"/>
                <w:b/>
                <w:i/>
                <w:sz w:val="20"/>
                <w:szCs w:val="20"/>
              </w:rPr>
              <w:t>Modalità di verifica</w:t>
            </w:r>
          </w:p>
        </w:tc>
        <w:tc>
          <w:tcPr>
            <w:tcW w:w="1836" w:type="pct"/>
            <w:gridSpan w:val="2"/>
            <w:tcBorders>
              <w:left w:val="single" w:sz="4" w:space="0" w:color="auto"/>
              <w:right w:val="nil"/>
            </w:tcBorders>
          </w:tcPr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 xml:space="preserve">Interrogazioni 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Dialogo e discussione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Quesiti a risposta aperta o chiusa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Relazioni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Ricerche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 xml:space="preserve">Prove strutturate e </w:t>
            </w:r>
            <w:proofErr w:type="spellStart"/>
            <w:r w:rsidRPr="007151B4">
              <w:rPr>
                <w:rFonts w:ascii="Times New Roman" w:hAnsi="Times New Roman"/>
                <w:sz w:val="20"/>
                <w:szCs w:val="20"/>
              </w:rPr>
              <w:t>semistrutturate</w:t>
            </w:r>
            <w:proofErr w:type="spellEnd"/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Produzione di testi finalizzati</w:t>
            </w:r>
          </w:p>
        </w:tc>
        <w:tc>
          <w:tcPr>
            <w:tcW w:w="1965" w:type="pct"/>
            <w:gridSpan w:val="2"/>
            <w:tcBorders>
              <w:left w:val="nil"/>
              <w:right w:val="single" w:sz="4" w:space="0" w:color="auto"/>
            </w:tcBorders>
          </w:tcPr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Esperienze di laboratorio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Elaborazioni grafiche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Esercizi applicativi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Problemi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Comprensione e interpretazione del testo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Traduzione</w:t>
            </w:r>
          </w:p>
          <w:p w:rsidR="00926525" w:rsidRPr="007151B4" w:rsidRDefault="00926525" w:rsidP="0092652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 xml:space="preserve">Altro </w:t>
            </w:r>
            <w:r w:rsidRPr="007151B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26525" w:rsidRPr="007151B4" w:rsidTr="00814918">
        <w:trPr>
          <w:cantSplit/>
          <w:trHeight w:val="561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51B4">
              <w:rPr>
                <w:rFonts w:ascii="Times New Roman" w:hAnsi="Times New Roman"/>
                <w:b/>
                <w:i/>
                <w:sz w:val="20"/>
                <w:szCs w:val="20"/>
              </w:rPr>
              <w:t>Valutazione</w:t>
            </w:r>
          </w:p>
        </w:tc>
        <w:tc>
          <w:tcPr>
            <w:tcW w:w="38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La valutazione fa riferimento ai criteri e alle griglie di concordate nei Dipartimenti e allegate ai relativi Documenti di Programmazione.</w:t>
            </w:r>
          </w:p>
        </w:tc>
      </w:tr>
      <w:tr w:rsidR="00814918" w:rsidTr="00814918">
        <w:trPr>
          <w:cantSplit/>
          <w:trHeight w:val="561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8" w:rsidRPr="00814918" w:rsidRDefault="00814918" w:rsidP="00814918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4918">
              <w:rPr>
                <w:rFonts w:ascii="Times New Roman" w:hAnsi="Times New Roman"/>
                <w:b/>
                <w:i/>
                <w:sz w:val="20"/>
                <w:szCs w:val="20"/>
              </w:rPr>
              <w:t>Recupero</w:t>
            </w:r>
          </w:p>
          <w:p w:rsidR="00814918" w:rsidRPr="00814918" w:rsidRDefault="00814918" w:rsidP="00814918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14918" w:rsidRPr="00814918" w:rsidRDefault="00814918" w:rsidP="00814918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14918" w:rsidRPr="00814918" w:rsidRDefault="00814918" w:rsidP="00814918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18" w:rsidRPr="00814918" w:rsidRDefault="00814918" w:rsidP="00814918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14918">
              <w:rPr>
                <w:rFonts w:ascii="Times New Roman" w:hAnsi="Times New Roman"/>
                <w:sz w:val="20"/>
                <w:szCs w:val="20"/>
              </w:rPr>
              <w:t>Qualora nel corso dell’anno si verifichino situazioni in cui sia necessario procedere al recupero di contenuti, abilità e/o competenze, si provvederà immediatamente a impostare un recupero in itinere o studio individuale secondo i bisogni rilevati</w:t>
            </w:r>
          </w:p>
        </w:tc>
      </w:tr>
    </w:tbl>
    <w:p w:rsidR="00926525" w:rsidRDefault="00926525" w:rsidP="00926525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:rsidR="00926525" w:rsidRPr="007151B4" w:rsidRDefault="00926525" w:rsidP="00926525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7151B4">
        <w:rPr>
          <w:rFonts w:ascii="Times New Roman" w:hAnsi="Times New Roman"/>
          <w:b/>
          <w:sz w:val="20"/>
          <w:szCs w:val="20"/>
        </w:rPr>
        <w:lastRenderedPageBreak/>
        <w:t xml:space="preserve">Modello </w:t>
      </w:r>
      <w:proofErr w:type="spellStart"/>
      <w:r w:rsidRPr="007151B4">
        <w:rPr>
          <w:rFonts w:ascii="Times New Roman" w:hAnsi="Times New Roman"/>
          <w:b/>
          <w:sz w:val="20"/>
          <w:szCs w:val="20"/>
        </w:rPr>
        <w:t>UdA</w:t>
      </w:r>
      <w:proofErr w:type="spellEnd"/>
      <w:r w:rsidRPr="007151B4">
        <w:rPr>
          <w:rFonts w:ascii="Times New Roman" w:hAnsi="Times New Roman"/>
          <w:b/>
          <w:sz w:val="20"/>
          <w:szCs w:val="20"/>
        </w:rPr>
        <w:t xml:space="preserve"> – Istruzioni per la compilazione</w:t>
      </w:r>
    </w:p>
    <w:p w:rsidR="00926525" w:rsidRPr="007151B4" w:rsidRDefault="00926525" w:rsidP="0092652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7151B4">
        <w:rPr>
          <w:rFonts w:ascii="Times New Roman" w:hAnsi="Times New Roman"/>
          <w:b/>
          <w:sz w:val="20"/>
          <w:szCs w:val="20"/>
        </w:rPr>
        <w:t>Premessa:</w:t>
      </w:r>
      <w:r w:rsidRPr="007151B4">
        <w:rPr>
          <w:rFonts w:ascii="Times New Roman" w:hAnsi="Times New Roman"/>
          <w:sz w:val="20"/>
          <w:szCs w:val="20"/>
        </w:rPr>
        <w:t xml:space="preserve"> le </w:t>
      </w:r>
      <w:r w:rsidRPr="007151B4">
        <w:rPr>
          <w:rStyle w:val="Enfasicorsivo"/>
          <w:rFonts w:ascii="Times New Roman" w:hAnsi="Times New Roman"/>
          <w:b/>
          <w:bCs/>
          <w:sz w:val="20"/>
          <w:szCs w:val="20"/>
        </w:rPr>
        <w:t>unità di apprendimento</w:t>
      </w:r>
      <w:r w:rsidRPr="007151B4">
        <w:rPr>
          <w:rFonts w:ascii="Times New Roman" w:hAnsi="Times New Roman"/>
          <w:sz w:val="20"/>
          <w:szCs w:val="20"/>
        </w:rPr>
        <w:t xml:space="preserve"> in sostanza rappresentano lo spostamento dalla </w:t>
      </w:r>
      <w:r w:rsidRPr="007151B4">
        <w:rPr>
          <w:rStyle w:val="Enfasicorsivo"/>
          <w:rFonts w:ascii="Times New Roman" w:hAnsi="Times New Roman"/>
          <w:b/>
          <w:bCs/>
          <w:sz w:val="20"/>
          <w:szCs w:val="20"/>
        </w:rPr>
        <w:t>lezione</w:t>
      </w:r>
      <w:r w:rsidRPr="007151B4">
        <w:rPr>
          <w:rFonts w:ascii="Times New Roman" w:hAnsi="Times New Roman"/>
          <w:sz w:val="20"/>
          <w:szCs w:val="20"/>
        </w:rPr>
        <w:t xml:space="preserve"> dei docenti ai </w:t>
      </w:r>
      <w:r w:rsidRPr="007151B4">
        <w:rPr>
          <w:rStyle w:val="Enfasicorsivo"/>
          <w:rFonts w:ascii="Times New Roman" w:hAnsi="Times New Roman"/>
          <w:b/>
          <w:bCs/>
          <w:sz w:val="20"/>
          <w:szCs w:val="20"/>
        </w:rPr>
        <w:t>processi di apprendimento</w:t>
      </w:r>
      <w:r w:rsidRPr="007151B4">
        <w:rPr>
          <w:rFonts w:ascii="Times New Roman" w:hAnsi="Times New Roman"/>
          <w:sz w:val="20"/>
          <w:szCs w:val="20"/>
        </w:rPr>
        <w:t xml:space="preserve"> degli alunni 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 xml:space="preserve">pongono l’accento sulle operazioni che debbono effettuare gli alunni per apprendere. </w:t>
      </w:r>
    </w:p>
    <w:p w:rsidR="00926525" w:rsidRPr="007151B4" w:rsidRDefault="00926525" w:rsidP="0092652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 </w:t>
      </w:r>
      <w:proofErr w:type="spellStart"/>
      <w:r>
        <w:rPr>
          <w:rFonts w:ascii="Times New Roman" w:hAnsi="Times New Roman"/>
          <w:sz w:val="20"/>
          <w:szCs w:val="20"/>
        </w:rPr>
        <w:t>Ud</w:t>
      </w:r>
      <w:r w:rsidRPr="007151B4">
        <w:rPr>
          <w:rFonts w:ascii="Times New Roman" w:hAnsi="Times New Roman"/>
          <w:sz w:val="20"/>
          <w:szCs w:val="20"/>
        </w:rPr>
        <w:t>A</w:t>
      </w:r>
      <w:proofErr w:type="spellEnd"/>
      <w:r w:rsidRPr="007151B4">
        <w:rPr>
          <w:rFonts w:ascii="Times New Roman" w:hAnsi="Times New Roman"/>
          <w:sz w:val="20"/>
          <w:szCs w:val="20"/>
        </w:rPr>
        <w:t xml:space="preserve"> si intende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>un’unità organica, concreta, disciplinare o interdisciplinare, strutturata per fasi di lavoro, con una pluralità di metodi, finalizzata al raggiungimento di specifici obiettivi formativi, attenta a suscitare apprendimenti significativi ed a coinvolgere attivamente gli alunni.</w:t>
      </w:r>
    </w:p>
    <w:p w:rsidR="00926525" w:rsidRPr="007151B4" w:rsidRDefault="00926525" w:rsidP="0092652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</w:t>
      </w:r>
      <w:proofErr w:type="spellStart"/>
      <w:r>
        <w:rPr>
          <w:rFonts w:ascii="Times New Roman" w:hAnsi="Times New Roman"/>
          <w:sz w:val="20"/>
          <w:szCs w:val="20"/>
        </w:rPr>
        <w:t>Ud</w:t>
      </w:r>
      <w:r w:rsidRPr="007151B4">
        <w:rPr>
          <w:rFonts w:ascii="Times New Roman" w:hAnsi="Times New Roman"/>
          <w:sz w:val="20"/>
          <w:szCs w:val="20"/>
        </w:rPr>
        <w:t>A</w:t>
      </w:r>
      <w:proofErr w:type="spellEnd"/>
      <w:r w:rsidRPr="007151B4">
        <w:rPr>
          <w:rFonts w:ascii="Times New Roman" w:hAnsi="Times New Roman"/>
          <w:sz w:val="20"/>
          <w:szCs w:val="20"/>
        </w:rPr>
        <w:t xml:space="preserve"> può riguardare un’attività di laboratorio, un argomento modulare, un progetto, un’attività di ricerca, un percorso didattico interdisciplinare.</w:t>
      </w:r>
    </w:p>
    <w:p w:rsidR="00926525" w:rsidRPr="007151B4" w:rsidRDefault="00926525" w:rsidP="0092652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7151B4">
        <w:rPr>
          <w:rFonts w:ascii="Times New Roman" w:hAnsi="Times New Roman"/>
          <w:sz w:val="20"/>
          <w:szCs w:val="20"/>
        </w:rPr>
        <w:t xml:space="preserve">La didattica per </w:t>
      </w:r>
      <w:proofErr w:type="spellStart"/>
      <w:r w:rsidRPr="007151B4">
        <w:rPr>
          <w:rFonts w:ascii="Times New Roman" w:hAnsi="Times New Roman"/>
          <w:sz w:val="20"/>
          <w:szCs w:val="20"/>
        </w:rPr>
        <w:t>UdA</w:t>
      </w:r>
      <w:proofErr w:type="spellEnd"/>
      <w:r w:rsidRPr="007151B4">
        <w:rPr>
          <w:rFonts w:ascii="Times New Roman" w:hAnsi="Times New Roman"/>
          <w:sz w:val="20"/>
          <w:szCs w:val="20"/>
        </w:rPr>
        <w:t xml:space="preserve"> è una delle metodologie utilizzate nella didattica per competenza; la caratteristica principale è quella di essere centrata su un compito/prodotto finale coinvolgendo attivamente gli studenti, sia nella definizione del prodotto sia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>nella definizione delle fasi del percorso. Con questo tipo di metodologia, gli studenti affrontano il lavoro attivando non solo abilità legate alle discipline, ma abilità procedurali e di riflessione su di sé. Agli insegnanti è affidato un ruolo non trasmissivo 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>di mediazione e accompagnamento nel processo di apprendimento.</w:t>
      </w:r>
    </w:p>
    <w:p w:rsidR="00926525" w:rsidRDefault="00926525" w:rsidP="0092652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7151B4">
        <w:rPr>
          <w:rFonts w:ascii="Times New Roman" w:hAnsi="Times New Roman"/>
          <w:sz w:val="20"/>
          <w:szCs w:val="20"/>
        </w:rPr>
        <w:t xml:space="preserve">La didattica per </w:t>
      </w:r>
      <w:proofErr w:type="spellStart"/>
      <w:r w:rsidRPr="007151B4">
        <w:rPr>
          <w:rFonts w:ascii="Times New Roman" w:hAnsi="Times New Roman"/>
          <w:sz w:val="20"/>
          <w:szCs w:val="20"/>
        </w:rPr>
        <w:t>UdA</w:t>
      </w:r>
      <w:proofErr w:type="spellEnd"/>
      <w:r w:rsidRPr="007151B4">
        <w:rPr>
          <w:rFonts w:ascii="Times New Roman" w:hAnsi="Times New Roman"/>
          <w:sz w:val="20"/>
          <w:szCs w:val="20"/>
        </w:rPr>
        <w:t>, specialmente se di tipo pluridisciplinare,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>permette allo studente di sviluppare autonomia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>e senso di responsabilità e di sviluppare abilità decisionali, collaborare con gli altri e/o lavorare in gruppo 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>permette ai docenti di finalizzare parte della didattica disciplinare ad un compito reale e favorire il processo di lavoro con gli altri docenti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 xml:space="preserve">e la </w:t>
      </w:r>
      <w:proofErr w:type="spellStart"/>
      <w:r w:rsidRPr="007151B4">
        <w:rPr>
          <w:rFonts w:ascii="Times New Roman" w:hAnsi="Times New Roman"/>
          <w:sz w:val="20"/>
          <w:szCs w:val="20"/>
        </w:rPr>
        <w:t>covalutazione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7151B4">
        <w:rPr>
          <w:rFonts w:ascii="Times New Roman" w:hAnsi="Times New Roman"/>
          <w:sz w:val="20"/>
          <w:szCs w:val="20"/>
        </w:rPr>
        <w:t xml:space="preserve"> Le </w:t>
      </w:r>
      <w:proofErr w:type="spellStart"/>
      <w:r w:rsidRPr="007151B4">
        <w:rPr>
          <w:rFonts w:ascii="Times New Roman" w:hAnsi="Times New Roman"/>
          <w:sz w:val="20"/>
          <w:szCs w:val="20"/>
        </w:rPr>
        <w:t>UdA</w:t>
      </w:r>
      <w:proofErr w:type="spellEnd"/>
      <w:r w:rsidRPr="007151B4">
        <w:rPr>
          <w:rFonts w:ascii="Times New Roman" w:hAnsi="Times New Roman"/>
          <w:sz w:val="20"/>
          <w:szCs w:val="20"/>
        </w:rPr>
        <w:t xml:space="preserve"> hanno una forte valenza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1B4">
        <w:rPr>
          <w:rFonts w:ascii="Times New Roman" w:hAnsi="Times New Roman"/>
          <w:sz w:val="20"/>
          <w:szCs w:val="20"/>
        </w:rPr>
        <w:t xml:space="preserve">interdisciplinare, pertanto dovrebbero coinvolgere più ambiti disciplinari contemporaneamente, in tutte le fasi del processo. Tuttavia la didattica per </w:t>
      </w:r>
      <w:proofErr w:type="spellStart"/>
      <w:r w:rsidRPr="007151B4">
        <w:rPr>
          <w:rFonts w:ascii="Times New Roman" w:hAnsi="Times New Roman"/>
          <w:sz w:val="20"/>
          <w:szCs w:val="20"/>
        </w:rPr>
        <w:t>Uda</w:t>
      </w:r>
      <w:proofErr w:type="spellEnd"/>
      <w:r w:rsidRPr="007151B4">
        <w:rPr>
          <w:rFonts w:ascii="Times New Roman" w:hAnsi="Times New Roman"/>
          <w:sz w:val="20"/>
          <w:szCs w:val="20"/>
        </w:rPr>
        <w:t>, anche se disciplinare, se metodologicamente ben condotta, concorre a trasferire i saperi verso altri ambiti disciplinari.</w:t>
      </w:r>
    </w:p>
    <w:p w:rsidR="00926525" w:rsidRPr="007151B4" w:rsidRDefault="00926525" w:rsidP="00926525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6897"/>
      </w:tblGrid>
      <w:tr w:rsidR="00926525" w:rsidRPr="007151B4" w:rsidTr="001C1BF1">
        <w:trPr>
          <w:cantSplit/>
        </w:trPr>
        <w:tc>
          <w:tcPr>
            <w:tcW w:w="1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Denominazione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1B4">
              <w:rPr>
                <w:rFonts w:ascii="Times New Roman" w:hAnsi="Times New Roman"/>
                <w:sz w:val="20"/>
                <w:szCs w:val="20"/>
              </w:rPr>
              <w:t>dell’</w:t>
            </w:r>
            <w:proofErr w:type="spellStart"/>
            <w:r w:rsidRPr="007151B4">
              <w:rPr>
                <w:rFonts w:ascii="Times New Roman" w:hAnsi="Times New Roman"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3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Si sceglie un titolo che indichi l’argomento dell’</w:t>
            </w:r>
            <w:proofErr w:type="spellStart"/>
            <w:r w:rsidRPr="007151B4">
              <w:rPr>
                <w:rFonts w:ascii="Times New Roman" w:hAnsi="Times New Roman"/>
                <w:sz w:val="20"/>
                <w:szCs w:val="20"/>
              </w:rPr>
              <w:t>UdA</w:t>
            </w:r>
            <w:proofErr w:type="spellEnd"/>
            <w:r w:rsidRPr="007151B4">
              <w:rPr>
                <w:rFonts w:ascii="Times New Roman" w:hAnsi="Times New Roman"/>
                <w:sz w:val="20"/>
                <w:szCs w:val="20"/>
              </w:rPr>
              <w:t>, il principio organizzatore, l’idea centrale.</w:t>
            </w:r>
          </w:p>
        </w:tc>
      </w:tr>
      <w:tr w:rsidR="00926525" w:rsidRPr="007151B4" w:rsidTr="001C1BF1">
        <w:trPr>
          <w:cantSplit/>
          <w:trHeight w:val="761"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Eventuale compito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1B4">
              <w:rPr>
                <w:rFonts w:ascii="Times New Roman" w:hAnsi="Times New Roman"/>
                <w:sz w:val="20"/>
                <w:szCs w:val="20"/>
              </w:rPr>
              <w:t>prodotto</w:t>
            </w:r>
          </w:p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(voce facoltativa)</w:t>
            </w:r>
          </w:p>
        </w:tc>
        <w:tc>
          <w:tcPr>
            <w:tcW w:w="3527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pStyle w:val="Corpodeltesto"/>
              <w:ind w:firstLine="0"/>
              <w:rPr>
                <w:szCs w:val="20"/>
              </w:rPr>
            </w:pPr>
            <w:r w:rsidRPr="007151B4">
              <w:rPr>
                <w:szCs w:val="20"/>
              </w:rPr>
              <w:t>L’</w:t>
            </w:r>
            <w:proofErr w:type="spellStart"/>
            <w:r w:rsidRPr="007151B4">
              <w:rPr>
                <w:szCs w:val="20"/>
              </w:rPr>
              <w:t>UdA</w:t>
            </w:r>
            <w:proofErr w:type="spellEnd"/>
            <w:r w:rsidRPr="007151B4">
              <w:rPr>
                <w:szCs w:val="20"/>
              </w:rPr>
              <w:t xml:space="preserve"> prevede compiti reali (o simulati) e relativi prodotti che i destinatari sono chiamati a realizzare ed indica le risorse (capacità, conoscenze, abilità) che gli è chiesto di mobilitare per diventare competenti.</w:t>
            </w:r>
          </w:p>
          <w:p w:rsidR="00926525" w:rsidRPr="007151B4" w:rsidRDefault="00926525" w:rsidP="001C1BF1">
            <w:pPr>
              <w:pStyle w:val="Corpodeltesto"/>
              <w:ind w:firstLine="0"/>
              <w:rPr>
                <w:szCs w:val="20"/>
              </w:rPr>
            </w:pPr>
            <w:r w:rsidRPr="007151B4">
              <w:rPr>
                <w:szCs w:val="20"/>
              </w:rPr>
              <w:t xml:space="preserve">Il compito/prodotto dice che cosa si vuol realizzare concretamente attraverso l’esperienza. È lo scopo finale entro cui gli alunni si proiettano per motivare il loro lavoro. </w:t>
            </w:r>
          </w:p>
          <w:p w:rsidR="00926525" w:rsidRPr="007151B4" w:rsidRDefault="00926525" w:rsidP="001C1BF1">
            <w:pPr>
              <w:pStyle w:val="Corpodeltesto"/>
              <w:ind w:firstLine="0"/>
              <w:rPr>
                <w:szCs w:val="20"/>
              </w:rPr>
            </w:pPr>
            <w:r w:rsidRPr="007151B4">
              <w:rPr>
                <w:szCs w:val="20"/>
              </w:rPr>
              <w:t>Non è necessariamente un prodotto fisico che lo studente dovrà presentare</w:t>
            </w:r>
            <w:r>
              <w:rPr>
                <w:szCs w:val="20"/>
              </w:rPr>
              <w:t xml:space="preserve"> </w:t>
            </w:r>
            <w:r w:rsidRPr="007151B4">
              <w:rPr>
                <w:szCs w:val="20"/>
              </w:rPr>
              <w:t>ma esplicita agli alunni, in anticipo,</w:t>
            </w:r>
            <w:r>
              <w:rPr>
                <w:szCs w:val="20"/>
              </w:rPr>
              <w:t xml:space="preserve"> </w:t>
            </w:r>
            <w:r w:rsidRPr="007151B4">
              <w:rPr>
                <w:szCs w:val="20"/>
              </w:rPr>
              <w:t>che cosa si va a fare e perché lo si fa</w:t>
            </w:r>
            <w:r>
              <w:rPr>
                <w:szCs w:val="20"/>
              </w:rPr>
              <w:t>.</w:t>
            </w:r>
          </w:p>
          <w:p w:rsidR="00926525" w:rsidRPr="007151B4" w:rsidRDefault="00926525" w:rsidP="001C1BF1">
            <w:pPr>
              <w:pStyle w:val="Corpodeltesto"/>
              <w:ind w:firstLine="0"/>
              <w:rPr>
                <w:szCs w:val="20"/>
              </w:rPr>
            </w:pPr>
            <w:r w:rsidRPr="007151B4">
              <w:rPr>
                <w:szCs w:val="20"/>
                <w:u w:val="single"/>
              </w:rPr>
              <w:t>Esempi di compiti/prodotti</w:t>
            </w:r>
            <w:r w:rsidRPr="007151B4">
              <w:rPr>
                <w:szCs w:val="20"/>
              </w:rPr>
              <w:t>: redigere un foglio di istruzioni per un gioco (all’interno di un lavoro sui testi regolativi); scrivere una breve sceneggiatura; preparare e stendere una comunicazione alla classe sul lavoro di un gruppo; descrivere e illustrare un viaggio lungo le strade dell’impero romano; preparare il depliant per una escursione collettiva, preparare un ipertesto, un cartellone, ecc.</w:t>
            </w:r>
          </w:p>
        </w:tc>
      </w:tr>
      <w:tr w:rsidR="00926525" w:rsidRPr="007151B4" w:rsidTr="001C1BF1">
        <w:trPr>
          <w:cantSplit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270EF8">
            <w:pPr>
              <w:pStyle w:val="Corpodeltesto"/>
              <w:ind w:firstLine="0"/>
              <w:rPr>
                <w:b/>
                <w:szCs w:val="20"/>
              </w:rPr>
            </w:pPr>
            <w:r w:rsidRPr="007151B4">
              <w:rPr>
                <w:b/>
                <w:szCs w:val="20"/>
              </w:rPr>
              <w:t>COMPETENZE</w:t>
            </w:r>
            <w:r w:rsidRPr="007151B4">
              <w:rPr>
                <w:szCs w:val="20"/>
              </w:rPr>
              <w:t xml:space="preserve"> (si tratta dei risultati attesi in termini di apprendimenti)</w:t>
            </w:r>
          </w:p>
        </w:tc>
      </w:tr>
      <w:tr w:rsidR="00926525" w:rsidRPr="007151B4" w:rsidTr="001C1BF1">
        <w:trPr>
          <w:cantSplit/>
          <w:trHeight w:val="331"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Assi culturali di riferimento</w:t>
            </w:r>
          </w:p>
        </w:tc>
        <w:tc>
          <w:tcPr>
            <w:tcW w:w="3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Contrassegnare l’asse culturale relativo alla disciplina.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 rilevante, indicare se l’</w:t>
            </w:r>
            <w:proofErr w:type="spellStart"/>
            <w:r w:rsidRPr="007151B4">
              <w:rPr>
                <w:rFonts w:ascii="Times New Roman" w:hAnsi="Times New Roman"/>
                <w:sz w:val="20"/>
                <w:szCs w:val="20"/>
              </w:rPr>
              <w:t>UdA</w:t>
            </w:r>
            <w:proofErr w:type="spellEnd"/>
            <w:r w:rsidRPr="007151B4">
              <w:rPr>
                <w:rFonts w:ascii="Times New Roman" w:hAnsi="Times New Roman"/>
                <w:sz w:val="20"/>
                <w:szCs w:val="20"/>
              </w:rPr>
              <w:t xml:space="preserve"> interessa anche altri assi (rimandi trasversali).</w:t>
            </w:r>
          </w:p>
        </w:tc>
      </w:tr>
      <w:tr w:rsidR="00926525" w:rsidRPr="007151B4" w:rsidTr="001C1BF1">
        <w:trPr>
          <w:cantSplit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270EF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Competenze chiave di cittadinanza</w:t>
            </w:r>
          </w:p>
        </w:tc>
        <w:tc>
          <w:tcPr>
            <w:tcW w:w="3527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Sono spiegate nel dettaglio nell’ultima pagina del documento tecnico sull’obbligo scolastico; segnare le competenze interessate dallo svolgimento dell’</w:t>
            </w:r>
            <w:proofErr w:type="spellStart"/>
            <w:r w:rsidRPr="007151B4">
              <w:rPr>
                <w:rFonts w:ascii="Times New Roman" w:hAnsi="Times New Roman"/>
                <w:sz w:val="20"/>
                <w:szCs w:val="20"/>
              </w:rPr>
              <w:t>UdA</w:t>
            </w:r>
            <w:proofErr w:type="spellEnd"/>
            <w:r w:rsidRPr="007151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6525" w:rsidRPr="007151B4" w:rsidTr="001C1BF1">
        <w:trPr>
          <w:cantSplit/>
          <w:trHeight w:val="373"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Esperienze attivate</w:t>
            </w:r>
          </w:p>
        </w:tc>
        <w:tc>
          <w:tcPr>
            <w:tcW w:w="3527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Indicare eventuali uscite o visite didattiche, partecipazioni a conferenze, incontri con esperti, visione di spettacoli, partecipazione a laboratori,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1B4">
              <w:rPr>
                <w:rFonts w:ascii="Times New Roman" w:hAnsi="Times New Roman"/>
                <w:sz w:val="20"/>
                <w:szCs w:val="20"/>
              </w:rPr>
              <w:t>ecc.</w:t>
            </w:r>
          </w:p>
        </w:tc>
      </w:tr>
      <w:tr w:rsidR="00926525" w:rsidRPr="007151B4" w:rsidTr="001C1BF1">
        <w:trPr>
          <w:cantSplit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Strumenti metodologici</w:t>
            </w:r>
          </w:p>
        </w:tc>
        <w:tc>
          <w:tcPr>
            <w:tcW w:w="3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Indicare gli strumenti che si intendono adottare</w:t>
            </w:r>
          </w:p>
        </w:tc>
      </w:tr>
      <w:tr w:rsidR="00926525" w:rsidRPr="007151B4" w:rsidTr="001C1BF1">
        <w:trPr>
          <w:cantSplit/>
          <w:trHeight w:val="70"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Modalità di verifica</w:t>
            </w:r>
          </w:p>
        </w:tc>
        <w:tc>
          <w:tcPr>
            <w:tcW w:w="3527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926525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Indicare le modalità di verifica che si intendono adottare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0EF8" w:rsidRPr="007151B4" w:rsidTr="00F14FF0">
        <w:trPr>
          <w:cantSplit/>
          <w:trHeight w:val="523"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</w:tcPr>
          <w:p w:rsidR="00270EF8" w:rsidRPr="007151B4" w:rsidRDefault="00270EF8" w:rsidP="00F14FF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Valutazione</w:t>
            </w:r>
          </w:p>
        </w:tc>
        <w:tc>
          <w:tcPr>
            <w:tcW w:w="3527" w:type="pct"/>
            <w:tcBorders>
              <w:left w:val="single" w:sz="4" w:space="0" w:color="auto"/>
              <w:right w:val="single" w:sz="4" w:space="0" w:color="auto"/>
            </w:tcBorders>
          </w:tcPr>
          <w:p w:rsidR="00270EF8" w:rsidRPr="007151B4" w:rsidRDefault="00270EF8" w:rsidP="00F14FF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51B4">
              <w:rPr>
                <w:rFonts w:ascii="Times New Roman" w:hAnsi="Times New Roman"/>
                <w:sz w:val="20"/>
                <w:szCs w:val="20"/>
              </w:rPr>
              <w:t>Fare riferimento ai criteri e alle griglie di valutazione concordate in sede di Dipartimento e contenute nel POF o ripetere la voce generale già scritta</w:t>
            </w:r>
          </w:p>
        </w:tc>
      </w:tr>
      <w:tr w:rsidR="00926525" w:rsidRPr="007151B4" w:rsidTr="001C1BF1">
        <w:trPr>
          <w:cantSplit/>
          <w:trHeight w:val="523"/>
        </w:trPr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270EF8" w:rsidP="001C1BF1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Recupero</w:t>
            </w:r>
          </w:p>
        </w:tc>
        <w:tc>
          <w:tcPr>
            <w:tcW w:w="3527" w:type="pct"/>
            <w:tcBorders>
              <w:left w:val="single" w:sz="4" w:space="0" w:color="auto"/>
              <w:right w:val="single" w:sz="4" w:space="0" w:color="auto"/>
            </w:tcBorders>
          </w:tcPr>
          <w:p w:rsidR="00926525" w:rsidRPr="007151B4" w:rsidRDefault="00270EF8" w:rsidP="00270EF8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Compilare nel caso in cui sia necessario attivare percorsi di recupero durante l’anno indicando modalità, tempi e contenuti.</w:t>
            </w:r>
          </w:p>
        </w:tc>
      </w:tr>
    </w:tbl>
    <w:p w:rsidR="00926525" w:rsidRPr="007151B4" w:rsidRDefault="00926525" w:rsidP="00926525">
      <w:pPr>
        <w:spacing w:before="120" w:after="0" w:line="240" w:lineRule="auto"/>
        <w:ind w:firstLine="0"/>
        <w:jc w:val="lef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F668F" w:rsidRDefault="003F668F"/>
    <w:sectPr w:rsidR="003F668F" w:rsidSect="003F6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334"/>
    <w:multiLevelType w:val="hybridMultilevel"/>
    <w:tmpl w:val="6E1A554A"/>
    <w:lvl w:ilvl="0" w:tplc="48C295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B19C0"/>
    <w:multiLevelType w:val="hybridMultilevel"/>
    <w:tmpl w:val="213445A4"/>
    <w:lvl w:ilvl="0" w:tplc="48C295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77C49"/>
    <w:multiLevelType w:val="hybridMultilevel"/>
    <w:tmpl w:val="BEFEC8C4"/>
    <w:lvl w:ilvl="0" w:tplc="48C295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96393"/>
    <w:multiLevelType w:val="hybridMultilevel"/>
    <w:tmpl w:val="86B2C9FA"/>
    <w:lvl w:ilvl="0" w:tplc="48C295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26525"/>
    <w:rsid w:val="00270EF8"/>
    <w:rsid w:val="002E2F8A"/>
    <w:rsid w:val="003F668F"/>
    <w:rsid w:val="003F775B"/>
    <w:rsid w:val="007C1BE5"/>
    <w:rsid w:val="00814918"/>
    <w:rsid w:val="00926525"/>
    <w:rsid w:val="00A00C4F"/>
    <w:rsid w:val="00AF096D"/>
    <w:rsid w:val="00BC30EF"/>
    <w:rsid w:val="00C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525"/>
    <w:pPr>
      <w:ind w:firstLine="709"/>
      <w:jc w:val="both"/>
    </w:pPr>
    <w:rPr>
      <w:rFonts w:ascii="Verdana" w:eastAsia="Calibri" w:hAnsi="Verdan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525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rsid w:val="00926525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26525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corsivo">
    <w:name w:val="Emphasis"/>
    <w:uiPriority w:val="20"/>
    <w:qFormat/>
    <w:rsid w:val="009265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4990</Characters>
  <Application>Microsoft Office Word</Application>
  <DocSecurity>0</DocSecurity>
  <Lines>41</Lines>
  <Paragraphs>11</Paragraphs>
  <ScaleCrop>false</ScaleCrop>
  <Company>Hewlett-Packard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teresa</cp:lastModifiedBy>
  <cp:revision>2</cp:revision>
  <dcterms:created xsi:type="dcterms:W3CDTF">2015-11-03T11:05:00Z</dcterms:created>
  <dcterms:modified xsi:type="dcterms:W3CDTF">2015-11-03T11:05:00Z</dcterms:modified>
</cp:coreProperties>
</file>