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ATTIVITA’ VALIDE AI FINI DEI P.C.T.O.</w:t>
      </w:r>
    </w:p>
    <w:p w:rsidR="00000000" w:rsidDel="00000000" w:rsidP="00000000" w:rsidRDefault="00000000" w:rsidRPr="00000000" w14:paraId="00000005">
      <w:pPr>
        <w:spacing w:line="36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In ottemperanza alla </w:t>
      </w:r>
      <w:r w:rsidDel="00000000" w:rsidR="00000000" w:rsidRPr="00000000">
        <w:rPr>
          <w:b w:val="1"/>
          <w:i w:val="1"/>
          <w:u w:val="single"/>
          <w:rtl w:val="0"/>
        </w:rPr>
        <w:t xml:space="preserve">Legge 107/15</w:t>
      </w:r>
      <w:r w:rsidDel="00000000" w:rsidR="00000000" w:rsidRPr="00000000">
        <w:rPr>
          <w:rtl w:val="0"/>
        </w:rPr>
        <w:t xml:space="preserve">, modificata dalla Legge di Bilancio 2019 art.57 c.18, si comunica di seguito l’elenco delle attività valide per il riconoscimento delle 30 ore di P.C.T.O. a completamento del percorso.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docenti tutor di ciascuna classe sono invitati a compilare l’elenco delle attività a cui intendano partecipare i propri alunni e a comunicarlo entro </w:t>
      </w:r>
      <w:r w:rsidDel="00000000" w:rsidR="00000000" w:rsidRPr="00000000">
        <w:rPr>
          <w:b w:val="1"/>
          <w:rtl w:val="0"/>
        </w:rPr>
        <w:t xml:space="preserve">il 30 aprile di ogni anno scolastico </w:t>
      </w:r>
      <w:r w:rsidDel="00000000" w:rsidR="00000000" w:rsidRPr="00000000">
        <w:rPr>
          <w:rtl w:val="0"/>
        </w:rPr>
        <w:t xml:space="preserve">alla docente referente.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Elenco percorsi organizzati dalla scuola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Percorso Curvatura Biomedica (30 ore nel triennio, 10 ore per anno scolastico)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Attività di orientamento svolte in collaborazione con UNIMOL (15 ore)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Attività di orientamento svolte presso le Università e partecipazione al Salone dello Studente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20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Attività laboratoriali organizzate presso enti e aziende, progettate in collaborazione col Consiglio di classe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Percorsi online organizzati da enti certificati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Biblioteca scolastica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Giornalino scolastico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Svolgimento dell’anno scolastico all’estero (50 ore) o svolgimento di un periodo all’estero di durata inferiore all’anno scolastico (30 / 40 ore)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bookmarkStart w:colFirst="0" w:colLast="0" w:name="_heading=h.eol5v17cxrsc" w:id="0"/>
      <w:bookmarkEnd w:id="0"/>
      <w:r w:rsidDel="00000000" w:rsidR="00000000" w:rsidRPr="00000000">
        <w:rPr>
          <w:rtl w:val="0"/>
        </w:rPr>
        <w:t xml:space="preserve">Corsi di Inglese certificati (30 ore)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Corsi ECDL certificati (30 ore)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Debate (fino a un massimo di 30 ore)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Elenco attività esterne riconosciute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Attività sportive agonistiche certificate (fino a un massimo di 30 ore)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20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Corsi di inglese o ECDL certificati da altri enti (fino a un massimo di 30 ore)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20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Attività di volontariato presso Avis di Termoli (fino a un massimo di 30 ore)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200" w:line="36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Altre attività di volontariato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20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Brevetto bagnini di salvataggio: Brevetto P: per operare soltanto in piscina, Brevetto IP: per acque interne (ovvero laghi) e anche piscina, Brevetto MIP: per operare al mare, in acque interne e nelle piscine. (fino a un massimo di 30 ore)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0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Esperienze e attività riconosciute dal Consiglio di classe in linea con gli obiettivi previsti dal progetto Alter@lpha, tra le quali partecipazione alle Olimpiadi di matematica, fisica, chimica, patrimonio, partecipazione a progetti di interesse nazionale o internazionale. (fino a un massimo di 30 ore)</w:t>
      </w:r>
    </w:p>
    <w:p w:rsidR="00000000" w:rsidDel="00000000" w:rsidP="00000000" w:rsidRDefault="00000000" w:rsidRPr="00000000" w14:paraId="0000001C">
      <w:pPr>
        <w:widowControl w:val="0"/>
        <w:spacing w:after="200" w:line="36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2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2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2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2169400" y="3225250"/>
                          <a:chExt cx="6353200" cy="1109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69400" y="3225250"/>
                            <a:ext cx="6353200" cy="110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69413" y="3225266"/>
                            <a:ext cx="6353175" cy="1109468"/>
                            <a:chOff x="0" y="0"/>
                            <a:chExt cx="6353481" cy="81432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353475" cy="8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3129280" cy="437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LICEO SCIENTIFICO STATALE “ALFANO DA TERMOLI”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con liceo scientifico, opzione scienze applicate, sez. a indirizzo sportivo e percorso di Biologia con curvatura biomedica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Viale Trieste, 10   86039 Termoli   Tel. 0875-706493  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285648" y="114300"/>
                              <a:ext cx="3067833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Sito internet: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www.iissalfano.edu.it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8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E-mail: </w:t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cbis022008@istruzione.it</w:t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Pec: </w:t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cbis022008@pec.istruzione.it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18"/>
                                    <w:u w:val="single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Cod. fiscale 91049580706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200400" y="19050"/>
                              <a:ext cx="7774" cy="573795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2225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66725" y="370456"/>
                              <a:ext cx="2654300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LICEO CLASSICO STATALE “G. PERROTTA”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Via Asia, 2   86039  Termoli   Tel. 0875-82175  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Narrow" w:cs="Arial Narrow" w:eastAsia="Arial Narrow" w:hAnsi="Arial Narrow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-190497</wp:posOffset>
          </wp:positionH>
          <wp:positionV relativeFrom="paragraph">
            <wp:posOffset>39607</wp:posOffset>
          </wp:positionV>
          <wp:extent cx="2636520" cy="967740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6520" cy="96774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t6dslgz0xwvu" w:id="1"/>
          <w:bookmarkEnd w:id="1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0" w:firstLine="0"/>
      </w:pPr>
      <w:rPr>
        <w:b w:val="1"/>
      </w:rPr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lowerRoman"/>
      <w:lvlText w:val="%1.%2.%3."/>
      <w:lvlJc w:val="right"/>
      <w:pPr>
        <w:ind w:left="0" w:firstLine="0"/>
      </w:pPr>
      <w:rPr/>
    </w:lvl>
    <w:lvl w:ilvl="3">
      <w:start w:val="1"/>
      <w:numFmt w:val="decimal"/>
      <w:lvlText w:val="%1.%2.%3.%4."/>
      <w:lvlJc w:val="left"/>
      <w:pPr>
        <w:ind w:left="0" w:firstLine="0"/>
      </w:pPr>
      <w:rPr/>
    </w:lvl>
    <w:lvl w:ilvl="4">
      <w:start w:val="1"/>
      <w:numFmt w:val="lowerLetter"/>
      <w:lvlText w:val="%1.%2.%3.%4.%5."/>
      <w:lvlJc w:val="left"/>
      <w:pPr>
        <w:ind w:left="0" w:firstLine="0"/>
      </w:pPr>
      <w:rPr/>
    </w:lvl>
    <w:lvl w:ilvl="5">
      <w:start w:val="1"/>
      <w:numFmt w:val="lowerRoman"/>
      <w:lvlText w:val="%1.%2.%3.%4.%5.%6."/>
      <w:lvlJc w:val="right"/>
      <w:pPr>
        <w:ind w:left="0" w:firstLine="0"/>
      </w:pPr>
      <w:rPr/>
    </w:lvl>
    <w:lvl w:ilvl="6">
      <w:start w:val="1"/>
      <w:numFmt w:val="decimal"/>
      <w:lvlText w:val="%1.%2.%3.%4.%5.%6.%7."/>
      <w:lvlJc w:val="left"/>
      <w:pPr>
        <w:ind w:left="0" w:firstLine="0"/>
      </w:pPr>
      <w:rPr/>
    </w:lvl>
    <w:lvl w:ilvl="7">
      <w:start w:val="1"/>
      <w:numFmt w:val="lowerLetter"/>
      <w:lvlText w:val="%1.%2.%3.%4.%5.%6.%7.%8."/>
      <w:lvlJc w:val="left"/>
      <w:pPr>
        <w:ind w:left="0" w:firstLine="0"/>
      </w:pPr>
      <w:rPr/>
    </w:lvl>
    <w:lvl w:ilvl="8">
      <w:start w:val="1"/>
      <w:numFmt w:val="lowerRoman"/>
      <w:lvlText w:val="%1.%2.%3.%4.%5.%6.%7.%8.%9."/>
      <w:lvlJc w:val="righ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numbering" w:styleId="WWNum11" w:customStyle="1">
    <w:name w:val="WWNum11"/>
    <w:basedOn w:val="Nessunelenco"/>
    <w:rsid w:val="00743FB5"/>
    <w:pPr>
      <w:numPr>
        <w:numId w:val="17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fF/6HJmcN3FDDh9KEPisryLIQ==">CgMxLjAyDmguZW9sNXYxN2N4cnNjMg5oLnQ2ZHNsZ3oweHd2dTgAciExSnlySl8wNzBIZTl1bTFlNkdUR0hlSWpjeGhHMlhlRUo=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